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2007 3 vom 26. April 2007</w:t>
      </w:r>
    </w:p>
    <w:p>
      <w:r>
        <w:t>GR Gerichte, 2007-04-26, DE</w:t>
      </w:r>
    </w:p>
    <w:p>
      <w:r>
        <w:rPr>
          <w:b/>
        </w:rPr>
        <w:t xml:space="preserve">Quelle: </w:t>
      </w:r>
      <w:r>
        <w:t>https://mcp.opencaselaw.ch/entscheid/gr_gerichte_VB 2007 3</w:t>
      </w:r>
    </w:p>
    <w:p>
      <w:r>
        <w:t>FR: GR_GERICHTE VB 2007 3 du 26 avril 2007</w:t>
      </w:r>
    </w:p>
    <w:p>
      <w:r>
        <w:t>IT: GR_GERICHTE VB 2007 3 del 26 aprile 2007</w:t>
      </w:r>
    </w:p>
    <w:p>
      <w:pPr>
        <w:pStyle w:val="Heading2"/>
      </w:pPr>
      <w:r>
        <w:t>Regeste</w:t>
      </w:r>
    </w:p>
    <w:p>
      <w:r>
        <w:t>Widerhandlung gegen die Tierschutz- und Veterinärgesetzgebung | Schule-Wissenschaft-Kultur</w:t>
      </w:r>
    </w:p>
    <w:p>
      <w:pPr>
        <w:pStyle w:val="Heading2"/>
      </w:pPr>
      <w:r>
        <w:t>Erwägungen</w:t>
      </w:r>
    </w:p>
    <w:p>
      <w:r>
        <w:rPr>
          <w:b/>
        </w:rPr>
        <w:t>E. 2</w:t>
      </w:r>
    </w:p>
    <w:p>
      <w:r>
        <w:t>A. Mit Schreiben vom 20. September 2005 teilte das Amt für Lebensmit- telsicherheit (ALT) dem Departement des Innern und der Volkswirtschaft Graubün- den DIV (heute Departement für Volkswirtschaft und Soziales Graubünden; DVS) mit, es sei darüber in Kenntnis gesetzt worden, dass in der Tierheilpraxis von X. eine Blutentnahme am Ohr des Hundes A. von B. durchgeführt worden sei, was als invasive Handlung an einem Tier ausgelegt werden müsse. B. Am 13. Februar 2006 erstattete das ALT beim DVS Strafanzeige ge- gen X. wegen Verstoss gegen Art. 2 des Tierschutzgesetzes in Verbindung mit Art.</w:t>
      </w:r>
    </w:p>
    <w:p>
      <w:r>
        <w:rPr>
          <w:b/>
        </w:rPr>
        <w:t>E. 3</w:t>
      </w:r>
    </w:p>
    <w:p>
      <w:r>
        <w:t>Die Kosten dieses Verfahrens, bestehend aus: - der Staatsgebühr: Fr. 1'400.-- - den Kanzlei- und Ausfertigungsgebühren: Fr. 219.-- Total: Fr. 1'619.-- gehen zu Lasten von X.. Kosten und Busse im Gesamtbetrag von Fr. 2'319.-- sind innert 30 Tagen seit der Zustellung dieser Verfügung mit- tels beiliegendem Einzahlungsschein der Finanzverwaltung Graubün- den, Chur (Verfahrenskosten: Kto. 2000.4310; Busse: Kto. 2231.4312), zu überweisen.</w:t>
      </w:r>
    </w:p>
    <w:p>
      <w:r>
        <w:rPr>
          <w:b/>
        </w:rPr>
        <w:t>E. 4</w:t>
      </w:r>
    </w:p>
    <w:p>
      <w:r>
        <w:t>(Rechtsmittelbelehrung).</w:t>
      </w:r>
    </w:p>
    <w:p>
      <w:r>
        <w:rPr>
          <w:b/>
        </w:rPr>
        <w:t>E. 5</w:t>
      </w:r>
    </w:p>
    <w:p>
      <w:r>
        <w:t>Der Kantonsgerichtsausschuss zieht in Erwägung : 1. Gegen Strafverfügungen und Einspracheentscheide der Departe- mente können der Betroffene und der Staatsanwalt gestützt auf Art. 180 Abs. 1 StPO beim Kantonsgerichtsausschuss Berufung gemäss Art. 141 ff. StPO einlegen. Die Berufung ist zu begründen und hat darzutun, welche Mängel des erstinstanzli- chen Entscheids gerügt werden und ob das ganze Urteil oder lediglich Teile davon angefochten werden. Auf die frist- und formgerecht eingereichte Berufung ist einzu- treten. 2. Mit Schreiben vom 25. April 2007 liess X. seinen Antrag auf Durch- führung einer mündlichen Berufungsverhandlung zurückziehen. Da es im vorliegen- den Fall ausschliesslich um Rechtsfragen geht, welche sich mit genügender Hin- länglichkeit aufgrund der Akten beantworten lassen, kann die streitige Sache ohne persönliches Vortreten von X. sachgerecht entschieden werden. Auf die Durch- führung einer mündlichen Berufungsverhandlung wird daher verzichtet. 3. Der Kantonsgerichtsausschuss überprüft als Berufungsinstanz im Ver- fahren der verwaltungsstrafrechtlichen Berufung den vorinstanzlichen Entscheid im Rahmen der in der Berufung gestellten Anträge sowohl hinsichtlich der Tatsachen als auch der Rechtsgründe frei (Art. 180 Abs. 2 StPO in Verbindung mit Art. 146 Abs. 1 StPO). Er kann in allen Fällen, auf Antrag oder von Amtes wegen, das Be- weisverfahren ergänzen oder wiederholen. Auch bei der richterlichen Ergänzung der Untersuchung gilt jedoch der in Art. 75 StPO verankerte Grundsatz, dass nur wesentliche Beweise zu erheben sind. Ein Beweisantrag ist abzulehnen, wenn die Ergänzung nicht sachdienlich, das Beweismittel untauglich, die zu beweisende Tat- sache bereits anders bewiesen, unerheblich oder für die Beurteilung der relevanten Frage nicht geeignet ist (vgl. W. Padrutt, Kommentar zur StPO, Chur 1996, S. 255 f.; BGE 124 I 241 E. 2 S. 242). a) Der Berufungskläger beantragt, es sei ein unabhängiges, ausserkan- tonales und ganzheitlich-medizinisches Gutachten einzuholen, welches sich zum einen mit der Frage auseinandersetze, ob die Hündin C. durch die Schulmediziner richtig behandelt worden sei und ob die von ihnen bislang gestellten Diagnosen zu- treffend gewesen seien und zum anderen, ob die Diagnose von X. zutreffend gewe- sen sei und die von ihm vorgeschlagene Behandlung wahrscheinlich zur Heilung der Hündin geführt hätte. Mit diesem Beweisantrag gehe es ihm darum nachzuwei- sen, dass hinsichtlich der seit längerer Zeit bestehenden Hautprobleme der Hündin</w:t>
      </w:r>
    </w:p>
    <w:p>
      <w:r>
        <w:rPr>
          <w:b/>
        </w:rPr>
        <w:t>E. 6</w:t>
      </w:r>
    </w:p>
    <w:p>
      <w:r>
        <w:t>von den Veterinärmedizinern eine Fehldiagnose gestellt und die Hündin entspre- chend falsch behandelt und in eine Chronizität geführt worden sei. Um aus dieser Chronizität wieder herauszukommen, habe er zunächst die erforderlichen Ursa- chenforschungen und Diagnosen stellen müssen. Könne er den Beweis führen, dass die von ihm vorgeschlagene Behandlungsmethode zur Heilung geführt hätte und eine weitere Verabreichung von Cortison, wie von der Vorinstanz gefordert, kontraproduktiv gewesen wäre, könne ihm auch kein Vorwurf der fahrlässigen Tier- quälerei gemacht werden. Entgegen der Auffassung des Berufungsklägers geht es im vorliegenden Fall nicht um die Frage, ob die Behandlung, die X. vorgeschlagen hatte, zweckmässig und Erfolg versprechend gewesen wäre oder nicht. Vielmehr ist zu prüfen, ob die- ser, nachdem sich die Hündin bereits bei der ersten Konsultation in einem sehr schlechten Allgemeinzustand befunden hatte, 19 Tage zuwarten durfte, ohne So- fortmassnahmen zu ergreifen, welche das akute Leiden der Hündin verringert hät- ten. Es geht somit einzig um die Frage, ob vor der eigentlichen Ursachenbehand- lung, welche vorliegend jedoch nicht zu beurteilen ist, nicht eine Symptombekämp- fung hätte vorgenommen werden müssen, um dem Tier in einem ersten Schritt eine Linderung zu verschaffen und dessen Allgemeinzustand zu verbessern, um alsdann mit der eigentlichen Therapie beginnen zu können. Selbst unter der Annahme, dass die von X. vorgeschlagene Therapie längerfristig zu einer Heilung der Hündin ge- führt hätte, würde der Vorwurf der Tierquälerei dadurch nicht entkräftet, zumal der Tatbestand der Vernachlässigung im Sinne einer Unterlassung der notwendigen Massnahmen dennoch erfüllt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